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>Etisoft – przegląd polecanych rozwiązań z premierą w 2020 roku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 xml:space="preserve">Zmiana jednego komponentu używanego do znakowania i identyfikacji produktów może poprawić wydajność procesów w firmie o kilkanaście czy nawet kilkadziesiąt procent. Efekty takich inwestycji z czasem się kumulują. Warto zadbać więc o odpowiednie etykiety, oprogramowanie i urządzenia z branży </w:t>
      </w:r>
      <w:proofErr w:type="spellStart"/>
      <w:r w:rsidRPr="000C336E">
        <w:rPr>
          <w:rFonts w:ascii="Tahoma" w:hAnsi="Tahoma" w:cs="Tahoma"/>
          <w:b/>
          <w:szCs w:val="24"/>
        </w:rPr>
        <w:t>AutoID</w:t>
      </w:r>
      <w:proofErr w:type="spellEnd"/>
      <w:r w:rsidRPr="000C336E">
        <w:rPr>
          <w:rFonts w:ascii="Tahoma" w:hAnsi="Tahoma" w:cs="Tahoma"/>
          <w:b/>
          <w:szCs w:val="24"/>
        </w:rPr>
        <w:t>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</w:p>
    <w:p w:rsid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Jeśli wykorzystywane w firmie sprzęty czy oprogramowanie są przestarzałe, to przedsiębiorstwo każdego dnia traci czas i pieniądze na powstałe przez to problemy i opóźnienia. Aby sprawnie drukować etykiety, warto zapoznać się z najciekawszymi nowościami i stopniowo zacząć modernizować wykorzystywany sprzęt. Co pojawiło się w branży etykiet i </w:t>
      </w:r>
      <w:proofErr w:type="spellStart"/>
      <w:r w:rsidRPr="000C336E">
        <w:rPr>
          <w:rFonts w:ascii="Tahoma" w:hAnsi="Tahoma" w:cs="Tahoma"/>
          <w:szCs w:val="24"/>
        </w:rPr>
        <w:t>AutoID</w:t>
      </w:r>
      <w:proofErr w:type="spellEnd"/>
      <w:r w:rsidRPr="000C336E">
        <w:rPr>
          <w:rFonts w:ascii="Tahoma" w:hAnsi="Tahoma" w:cs="Tahoma"/>
          <w:szCs w:val="24"/>
        </w:rPr>
        <w:t xml:space="preserve"> w 2020 roku? Sprawdźmy jaki sprzęt poleca firma Etisoft, dostawca najwyższej jakości oznaczenia technicznego, specjalistycznego i ogólnego zastosowania.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Default="000C336E" w:rsidP="00F35D8A">
      <w:pPr>
        <w:spacing w:line="276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  <w:lang w:bidi="ar-SA"/>
        </w:rPr>
        <w:drawing>
          <wp:inline distT="0" distB="0" distL="0" distR="0">
            <wp:extent cx="6124575" cy="3026561"/>
            <wp:effectExtent l="19050" t="0" r="9525" b="0"/>
            <wp:docPr id="1" name="Obraz 0" descr="AUTOI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D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2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36E" w:rsidRPr="000C336E" w:rsidRDefault="000C336E" w:rsidP="00F35D8A">
      <w:pPr>
        <w:spacing w:line="276" w:lineRule="auto"/>
        <w:jc w:val="center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>Nareszcie kolorowy druk etykiet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Od szybkości druku etykiet może zależeć czas wysyłki i moce przerobowe przedsiębiorstwa. W tym roku pojawiło się kilka ważnych rozwiązań dla właścicieli firm, którzy chcą usprawnić procesy. Słynny Epson przedstawił przełomową drukarkę do etykiet </w:t>
      </w:r>
      <w:proofErr w:type="spellStart"/>
      <w:r w:rsidRPr="000C336E">
        <w:rPr>
          <w:rFonts w:ascii="Tahoma" w:hAnsi="Tahoma" w:cs="Tahoma"/>
          <w:szCs w:val="24"/>
        </w:rPr>
        <w:t>ColorWorks</w:t>
      </w:r>
      <w:proofErr w:type="spellEnd"/>
      <w:r w:rsidRPr="000C336E">
        <w:rPr>
          <w:rFonts w:ascii="Tahoma" w:hAnsi="Tahoma" w:cs="Tahoma"/>
          <w:szCs w:val="24"/>
        </w:rPr>
        <w:t xml:space="preserve"> C6000 i ColorWorksC6500. Choć w świecie druku biurowego kolorowe drukarki już dawno zastąpiły czarno-białe, dotychczas dość trudno dostępne były urządzenia do druku etykiet, które umożliwiał</w:t>
      </w:r>
      <w:r w:rsidR="004A5039">
        <w:rPr>
          <w:rFonts w:ascii="Tahoma" w:hAnsi="Tahoma" w:cs="Tahoma"/>
          <w:szCs w:val="24"/>
        </w:rPr>
        <w:t>y</w:t>
      </w:r>
      <w:r w:rsidRPr="000C336E">
        <w:rPr>
          <w:rFonts w:ascii="Tahoma" w:hAnsi="Tahoma" w:cs="Tahoma"/>
          <w:szCs w:val="24"/>
        </w:rPr>
        <w:t>by pracę w kolorze. Tymczasem dziś to w wielu branżach już standard – w ko</w:t>
      </w:r>
      <w:r>
        <w:rPr>
          <w:rFonts w:ascii="Tahoma" w:hAnsi="Tahoma" w:cs="Tahoma"/>
          <w:szCs w:val="24"/>
        </w:rPr>
        <w:t>lorze powstają np. etykiety z o</w:t>
      </w:r>
      <w:r w:rsidRPr="000C336E">
        <w:rPr>
          <w:rFonts w:ascii="Tahoma" w:hAnsi="Tahoma" w:cs="Tahoma"/>
          <w:szCs w:val="24"/>
        </w:rPr>
        <w:t xml:space="preserve">znaczeniem klasy lodówek i innych sprzętów AGD. Dodatkowo drukarka posiada </w:t>
      </w:r>
      <w:proofErr w:type="spellStart"/>
      <w:r w:rsidRPr="000C336E">
        <w:rPr>
          <w:rFonts w:ascii="Tahoma" w:hAnsi="Tahoma" w:cs="Tahoma"/>
          <w:szCs w:val="24"/>
        </w:rPr>
        <w:t>peeler</w:t>
      </w:r>
      <w:proofErr w:type="spellEnd"/>
      <w:r w:rsidRPr="000C336E">
        <w:rPr>
          <w:rFonts w:ascii="Tahoma" w:hAnsi="Tahoma" w:cs="Tahoma"/>
          <w:szCs w:val="24"/>
        </w:rPr>
        <w:t>, czyli dyspenser etykiet, co umożliwia integrację z automatycznym systemem aplikującym. Drukarka jest prosta w obsłudze, więc nie jest potrzebne dodatkowe szkolenie dla pracowników. Umożliwia druk o maksymalnej szerokości 108 mm (ColorWorks6000) lub 212 mm (</w:t>
      </w:r>
      <w:proofErr w:type="spellStart"/>
      <w:r w:rsidRPr="000C336E">
        <w:rPr>
          <w:rFonts w:ascii="Tahoma" w:hAnsi="Tahoma" w:cs="Tahoma"/>
          <w:szCs w:val="24"/>
        </w:rPr>
        <w:t>ColorWorks</w:t>
      </w:r>
      <w:proofErr w:type="spellEnd"/>
      <w:r w:rsidRPr="000C336E">
        <w:rPr>
          <w:rFonts w:ascii="Tahoma" w:hAnsi="Tahoma" w:cs="Tahoma"/>
          <w:szCs w:val="24"/>
        </w:rPr>
        <w:t xml:space="preserve"> 6500) w rozdzielczości 1200x1200</w:t>
      </w:r>
      <w:r w:rsidR="006426A4">
        <w:rPr>
          <w:rFonts w:ascii="Tahoma" w:hAnsi="Tahoma" w:cs="Tahoma"/>
          <w:szCs w:val="24"/>
        </w:rPr>
        <w:t xml:space="preserve"> </w:t>
      </w:r>
      <w:proofErr w:type="spellStart"/>
      <w:r w:rsidRPr="000C336E">
        <w:rPr>
          <w:rFonts w:ascii="Tahoma" w:hAnsi="Tahoma" w:cs="Tahoma"/>
          <w:szCs w:val="24"/>
        </w:rPr>
        <w:t>dpi</w:t>
      </w:r>
      <w:proofErr w:type="spellEnd"/>
      <w:r w:rsidRPr="000C336E">
        <w:rPr>
          <w:rFonts w:ascii="Tahoma" w:hAnsi="Tahoma" w:cs="Tahoma"/>
          <w:szCs w:val="24"/>
        </w:rPr>
        <w:t>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>Drukarki etykiet Zebra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lastRenderedPageBreak/>
        <w:t>Tych, którzy pracowali do tej pory na drukarkach etykiet Zebra GC420d i GC420t ucieszy wiadomość o premierze nowych modeli - Zebra ZD230 i Zebra ZD220. To niedrogie urządzenia, teraz z nowymi, ulepszonymi parametrami: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druk do 2000 etykiet dziennie,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druk termiczny lub termotransferowy,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automatyczna obcinarka,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dyspenser etykiet,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metalowa głowica drukująca,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opcjonalnie: Bluetooth, WI-FI.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Lifting swoich produktów przygotował także </w:t>
      </w:r>
      <w:proofErr w:type="spellStart"/>
      <w:r w:rsidRPr="000C336E">
        <w:rPr>
          <w:rFonts w:ascii="Tahoma" w:hAnsi="Tahoma" w:cs="Tahoma"/>
          <w:szCs w:val="24"/>
        </w:rPr>
        <w:t>Citizen</w:t>
      </w:r>
      <w:proofErr w:type="spellEnd"/>
      <w:r w:rsidRPr="000C336E">
        <w:rPr>
          <w:rFonts w:ascii="Tahoma" w:hAnsi="Tahoma" w:cs="Tahoma"/>
          <w:szCs w:val="24"/>
        </w:rPr>
        <w:t>. Modele CL-S521, 621, 631 i CL-S700 mają teraz lepszą pamięć, a CL-S521, 621, 631 wyposażono w blokujący czujnik nośnika.</w:t>
      </w:r>
    </w:p>
    <w:p w:rsid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  <w:lang w:bidi="ar-SA"/>
        </w:rPr>
        <w:drawing>
          <wp:inline distT="0" distB="0" distL="0" distR="0">
            <wp:extent cx="6553200" cy="3238373"/>
            <wp:effectExtent l="19050" t="0" r="0" b="0"/>
            <wp:docPr id="2" name="Obraz 1" descr="AUTOI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D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2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>Mobilne terminale dotykowe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Przenośne urządzenia do zarządzania stanem magazynowym, procesami czy sprzedażą, to standard w pracy największych z branży e-commerce czy logistyki. W klasie ekonomicznej wśród nowych urządzeń polecamy </w:t>
      </w:r>
      <w:r w:rsidR="00F82DAA">
        <w:rPr>
          <w:rFonts w:ascii="Tahoma" w:hAnsi="Tahoma" w:cs="Tahoma"/>
          <w:szCs w:val="24"/>
        </w:rPr>
        <w:t xml:space="preserve">modele </w:t>
      </w:r>
      <w:r w:rsidRPr="000C336E">
        <w:rPr>
          <w:rFonts w:ascii="Tahoma" w:hAnsi="Tahoma" w:cs="Tahoma"/>
          <w:szCs w:val="24"/>
        </w:rPr>
        <w:t>Zebra TC21 / TC26 z ciekawymi parametrami: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system operacyjny Android 10,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·         procesor </w:t>
      </w:r>
      <w:proofErr w:type="spellStart"/>
      <w:r w:rsidRPr="000C336E">
        <w:rPr>
          <w:rFonts w:ascii="Tahoma" w:hAnsi="Tahoma" w:cs="Tahoma"/>
          <w:szCs w:val="24"/>
        </w:rPr>
        <w:t>Qualcomm</w:t>
      </w:r>
      <w:proofErr w:type="spellEnd"/>
      <w:r w:rsidRPr="000C336E">
        <w:rPr>
          <w:rFonts w:ascii="Tahoma" w:hAnsi="Tahoma" w:cs="Tahoma"/>
          <w:szCs w:val="24"/>
        </w:rPr>
        <w:t xml:space="preserve"> </w:t>
      </w:r>
      <w:proofErr w:type="spellStart"/>
      <w:r w:rsidRPr="000C336E">
        <w:rPr>
          <w:rFonts w:ascii="Tahoma" w:hAnsi="Tahoma" w:cs="Tahoma"/>
          <w:szCs w:val="24"/>
        </w:rPr>
        <w:t>Snapdragon</w:t>
      </w:r>
      <w:proofErr w:type="spellEnd"/>
      <w:r w:rsidRPr="000C336E">
        <w:rPr>
          <w:rFonts w:ascii="Tahoma" w:hAnsi="Tahoma" w:cs="Tahoma"/>
          <w:szCs w:val="24"/>
        </w:rPr>
        <w:t>™ 660 1,8 GHz,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klasa szczelności IP67,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·         moduły skanujące 1D oraz 2D.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443799" w:rsidRDefault="00443799" w:rsidP="00F35D8A">
      <w:pPr>
        <w:spacing w:line="276" w:lineRule="auto"/>
        <w:jc w:val="both"/>
        <w:rPr>
          <w:rFonts w:ascii="Tahoma" w:eastAsiaTheme="minorHAnsi" w:hAnsi="Tahoma" w:cs="Tahoma"/>
          <w:lang w:bidi="ar-SA"/>
        </w:rPr>
      </w:pPr>
      <w:r>
        <w:rPr>
          <w:rFonts w:ascii="Tahoma" w:hAnsi="Tahoma" w:cs="Tahoma"/>
        </w:rPr>
        <w:t>Tymczasem bardziej zaawansowana seria Zebra TC5X, a także popularny MC3300x doczekały się odświeżenia umożliwiającego jeszcze płynniejszą i bardziej wydajną pracę.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lastRenderedPageBreak/>
        <w:t>Terminale i czytniki przenośne – nowości od Honeywell</w:t>
      </w:r>
    </w:p>
    <w:p w:rsidR="00C9551D" w:rsidRDefault="000C336E" w:rsidP="00F35D8A">
      <w:pPr>
        <w:spacing w:line="276" w:lineRule="auto"/>
        <w:rPr>
          <w:rFonts w:ascii="Calibri" w:eastAsiaTheme="minorHAnsi" w:hAnsi="Calibri" w:cs="Calibri"/>
          <w:color w:val="1F497D"/>
          <w:lang w:eastAsia="en-US" w:bidi="ar-SA"/>
        </w:rPr>
      </w:pPr>
      <w:r w:rsidRPr="000C336E">
        <w:rPr>
          <w:rFonts w:ascii="Tahoma" w:hAnsi="Tahoma" w:cs="Tahoma"/>
          <w:szCs w:val="24"/>
        </w:rPr>
        <w:t xml:space="preserve">Swoje nowe terminale z ekranem dotykowym przedstawił także Honeywell. CT60XP oraz CT40XP są oparte na platformie </w:t>
      </w:r>
      <w:proofErr w:type="spellStart"/>
      <w:r w:rsidRPr="000C336E">
        <w:rPr>
          <w:rFonts w:ascii="Tahoma" w:hAnsi="Tahoma" w:cs="Tahoma"/>
          <w:szCs w:val="24"/>
        </w:rPr>
        <w:t>Mobility</w:t>
      </w:r>
      <w:proofErr w:type="spellEnd"/>
      <w:r w:rsidRPr="000C336E">
        <w:rPr>
          <w:rFonts w:ascii="Tahoma" w:hAnsi="Tahoma" w:cs="Tahoma"/>
          <w:szCs w:val="24"/>
        </w:rPr>
        <w:t xml:space="preserve"> </w:t>
      </w:r>
      <w:proofErr w:type="spellStart"/>
      <w:r w:rsidRPr="000C336E">
        <w:rPr>
          <w:rFonts w:ascii="Tahoma" w:hAnsi="Tahoma" w:cs="Tahoma"/>
          <w:szCs w:val="24"/>
        </w:rPr>
        <w:t>Edge</w:t>
      </w:r>
      <w:proofErr w:type="spellEnd"/>
      <w:r w:rsidRPr="000C336E">
        <w:rPr>
          <w:rFonts w:ascii="Tahoma" w:hAnsi="Tahoma" w:cs="Tahoma"/>
          <w:szCs w:val="24"/>
        </w:rPr>
        <w:t xml:space="preserve">. Mają opcję </w:t>
      </w:r>
      <w:proofErr w:type="spellStart"/>
      <w:r w:rsidRPr="000C336E">
        <w:rPr>
          <w:rFonts w:ascii="Tahoma" w:hAnsi="Tahoma" w:cs="Tahoma"/>
          <w:szCs w:val="24"/>
        </w:rPr>
        <w:t>FlexRange</w:t>
      </w:r>
      <w:proofErr w:type="spellEnd"/>
      <w:r w:rsidRPr="000C336E">
        <w:rPr>
          <w:rFonts w:ascii="Tahoma" w:hAnsi="Tahoma" w:cs="Tahoma"/>
          <w:szCs w:val="24"/>
        </w:rPr>
        <w:t xml:space="preserve">, która umożliwia odczytywanie etykiet zarówno z odległości kilku cm, jak i 10 m. </w:t>
      </w:r>
      <w:r w:rsidR="00C9551D">
        <w:rPr>
          <w:rFonts w:ascii="Tahoma" w:hAnsi="Tahoma" w:cs="Tahoma"/>
        </w:rPr>
        <w:t>Z kolei przenośny czytnik RFID Honeywell IH25 to według deklaracji producenta nowa skuteczność odczytu na poziomie nawet 99 proc.</w:t>
      </w:r>
    </w:p>
    <w:p w:rsidR="00A21766" w:rsidRDefault="00A21766" w:rsidP="00F35D8A">
      <w:pPr>
        <w:spacing w:line="276" w:lineRule="auto"/>
        <w:rPr>
          <w:rFonts w:ascii="Tahoma" w:eastAsiaTheme="minorHAnsi" w:hAnsi="Tahoma" w:cs="Tahoma"/>
          <w:lang w:bidi="ar-SA"/>
        </w:rPr>
      </w:pPr>
      <w:r>
        <w:rPr>
          <w:rFonts w:ascii="Tahoma" w:hAnsi="Tahoma" w:cs="Tahoma"/>
        </w:rPr>
        <w:t xml:space="preserve">Na uwagę zasługuje ekonomiczny </w:t>
      </w:r>
      <w:proofErr w:type="spellStart"/>
      <w:r>
        <w:rPr>
          <w:rFonts w:ascii="Tahoma" w:hAnsi="Tahoma" w:cs="Tahoma"/>
        </w:rPr>
        <w:t>ScanPal</w:t>
      </w:r>
      <w:proofErr w:type="spellEnd"/>
      <w:r>
        <w:rPr>
          <w:rFonts w:ascii="Tahoma" w:hAnsi="Tahoma" w:cs="Tahoma"/>
        </w:rPr>
        <w:t xml:space="preserve"> EDA61K, który wyposażono w baterię zapewniającą nawet trzyzmianową, ciągłą pracę. Flagowy terminal wózkowy Honeywell VM3A teraz z platformą Android i możliwością aktualizacji oprogramowania aż do systemu Android R, co pozwala na dłuższe użytkowanie z najnowszym systemem.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W ofercie Honeywell znajdziemy także przemysłowy czytnik ręczny Honeywell Granit 199Xi w standardowej wersji SR i XP, która umożliwia odczyt etykiet z odległości do 10 m. Wersja z Bluetooth umożliwia pracę w odległości do 100 m od stacji dokującej.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0C336E">
        <w:rPr>
          <w:rFonts w:ascii="Tahoma" w:hAnsi="Tahoma" w:cs="Tahoma"/>
          <w:b/>
          <w:szCs w:val="24"/>
        </w:rPr>
        <w:t xml:space="preserve">Nowy, lekki skaner od </w:t>
      </w:r>
      <w:proofErr w:type="spellStart"/>
      <w:r w:rsidRPr="000C336E">
        <w:rPr>
          <w:rFonts w:ascii="Tahoma" w:hAnsi="Tahoma" w:cs="Tahoma"/>
          <w:b/>
          <w:szCs w:val="24"/>
        </w:rPr>
        <w:t>ProGlove</w:t>
      </w:r>
      <w:proofErr w:type="spellEnd"/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 xml:space="preserve">Nowości w tej kategorii zaprezentował także niemiecki </w:t>
      </w:r>
      <w:proofErr w:type="spellStart"/>
      <w:r w:rsidRPr="000C336E">
        <w:rPr>
          <w:rFonts w:ascii="Tahoma" w:hAnsi="Tahoma" w:cs="Tahoma"/>
          <w:szCs w:val="24"/>
        </w:rPr>
        <w:t>ProGlove</w:t>
      </w:r>
      <w:proofErr w:type="spellEnd"/>
      <w:r w:rsidRPr="000C336E">
        <w:rPr>
          <w:rFonts w:ascii="Tahoma" w:hAnsi="Tahoma" w:cs="Tahoma"/>
          <w:szCs w:val="24"/>
        </w:rPr>
        <w:t xml:space="preserve">. MARK Display to pierwszy model w portfolio tej firmy z wyświetlaczem </w:t>
      </w:r>
      <w:proofErr w:type="spellStart"/>
      <w:r w:rsidRPr="000C336E">
        <w:rPr>
          <w:rFonts w:ascii="Tahoma" w:hAnsi="Tahoma" w:cs="Tahoma"/>
          <w:szCs w:val="24"/>
        </w:rPr>
        <w:t>e-ink</w:t>
      </w:r>
      <w:proofErr w:type="spellEnd"/>
      <w:r w:rsidRPr="000C336E">
        <w:rPr>
          <w:rFonts w:ascii="Tahoma" w:hAnsi="Tahoma" w:cs="Tahoma"/>
          <w:szCs w:val="24"/>
        </w:rPr>
        <w:t xml:space="preserve"> czyli papierem elektronicznym. To rozwiązanie daje natychmiastowy dostęp do informacji ze skanowania. Najważniejsza jest jednak waga: 48 g, co na pewno znacznie ułatwi pracę w magazynie czy hali. MARK Display umożliwia skanowanie do 150 cm.</w:t>
      </w:r>
    </w:p>
    <w:p w:rsidR="000C336E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</w:p>
    <w:p w:rsidR="00CD37F0" w:rsidRPr="000C336E" w:rsidRDefault="000C336E" w:rsidP="00F35D8A">
      <w:pPr>
        <w:spacing w:line="276" w:lineRule="auto"/>
        <w:jc w:val="both"/>
        <w:rPr>
          <w:rFonts w:ascii="Tahoma" w:hAnsi="Tahoma" w:cs="Tahoma"/>
          <w:szCs w:val="24"/>
        </w:rPr>
      </w:pPr>
      <w:r w:rsidRPr="000C336E">
        <w:rPr>
          <w:rFonts w:ascii="Tahoma" w:hAnsi="Tahoma" w:cs="Tahoma"/>
          <w:szCs w:val="24"/>
        </w:rPr>
        <w:t> </w:t>
      </w:r>
      <w:r w:rsidR="00930B28" w:rsidRPr="000C336E">
        <w:rPr>
          <w:rFonts w:ascii="Tahoma" w:hAnsi="Tahoma" w:cs="Tahoma"/>
          <w:szCs w:val="24"/>
        </w:rPr>
        <w:t xml:space="preserve"> </w:t>
      </w:r>
    </w:p>
    <w:sectPr w:rsidR="00CD37F0" w:rsidRPr="000C336E" w:rsidSect="003F2B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2269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E27" w:rsidRDefault="005B4E27" w:rsidP="0071520E">
      <w:r>
        <w:separator/>
      </w:r>
    </w:p>
  </w:endnote>
  <w:endnote w:type="continuationSeparator" w:id="0">
    <w:p w:rsidR="005B4E27" w:rsidRDefault="005B4E27" w:rsidP="00715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Segoe Script"/>
    <w:charset w:val="EE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Default="00541C2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Pr="0062159D" w:rsidRDefault="00541C2B" w:rsidP="0024731B">
    <w:pPr>
      <w:pStyle w:val="Tekstpodstawowy"/>
      <w:spacing w:before="56"/>
      <w:ind w:left="120"/>
      <w:rPr>
        <w:rFonts w:ascii="Lato" w:hAnsi="Lato"/>
      </w:rPr>
    </w:pPr>
    <w:r w:rsidRPr="00D43345">
      <w:rPr>
        <w:rFonts w:ascii="Lato" w:hAnsi="Lato"/>
        <w:b/>
        <w:color w:val="00234B"/>
        <w:position w:val="-11"/>
        <w:sz w:val="19"/>
      </w:rPr>
      <w:t>commplace.pl</w:t>
    </w:r>
  </w:p>
  <w:p w:rsidR="00541C2B" w:rsidRDefault="00541C2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Default="00541C2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E27" w:rsidRDefault="005B4E27" w:rsidP="0071520E">
      <w:r>
        <w:separator/>
      </w:r>
    </w:p>
  </w:footnote>
  <w:footnote w:type="continuationSeparator" w:id="0">
    <w:p w:rsidR="005B4E27" w:rsidRDefault="005B4E27" w:rsidP="007152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Default="00541C2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Default="00541C2B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2B" w:rsidRDefault="00541C2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7E34"/>
    <w:multiLevelType w:val="multilevel"/>
    <w:tmpl w:val="BDAC1E2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10B93B3D"/>
    <w:multiLevelType w:val="hybridMultilevel"/>
    <w:tmpl w:val="86225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7C10"/>
    <w:multiLevelType w:val="multilevel"/>
    <w:tmpl w:val="6E7E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2A5F02"/>
    <w:multiLevelType w:val="multilevel"/>
    <w:tmpl w:val="2CE6DF6C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439852A2"/>
    <w:multiLevelType w:val="multilevel"/>
    <w:tmpl w:val="B250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43C91"/>
    <w:multiLevelType w:val="multilevel"/>
    <w:tmpl w:val="75A4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8647ED"/>
    <w:multiLevelType w:val="hybridMultilevel"/>
    <w:tmpl w:val="0F00D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46785B"/>
    <w:multiLevelType w:val="multilevel"/>
    <w:tmpl w:val="17B49492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3"/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5"/>
  </w:num>
  <w:num w:numId="15">
    <w:abstractNumId w:val="0"/>
  </w:num>
  <w:num w:numId="16">
    <w:abstractNumId w:val="0"/>
  </w:num>
  <w:num w:numId="17">
    <w:abstractNumId w:val="6"/>
  </w:num>
  <w:num w:numId="18">
    <w:abstractNumId w:val="6"/>
  </w:num>
  <w:num w:numId="19">
    <w:abstractNumId w:val="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0004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F2B87"/>
    <w:rsid w:val="0003359A"/>
    <w:rsid w:val="00092D72"/>
    <w:rsid w:val="000B63FB"/>
    <w:rsid w:val="000C336E"/>
    <w:rsid w:val="001163EC"/>
    <w:rsid w:val="00122141"/>
    <w:rsid w:val="00127F47"/>
    <w:rsid w:val="00135EA8"/>
    <w:rsid w:val="00140DFB"/>
    <w:rsid w:val="00157C68"/>
    <w:rsid w:val="00165874"/>
    <w:rsid w:val="001716C4"/>
    <w:rsid w:val="0018311A"/>
    <w:rsid w:val="00186C21"/>
    <w:rsid w:val="001B25B1"/>
    <w:rsid w:val="001B2902"/>
    <w:rsid w:val="001F4249"/>
    <w:rsid w:val="00201FB6"/>
    <w:rsid w:val="00204518"/>
    <w:rsid w:val="002221DF"/>
    <w:rsid w:val="0022415F"/>
    <w:rsid w:val="00224259"/>
    <w:rsid w:val="0024731B"/>
    <w:rsid w:val="00255600"/>
    <w:rsid w:val="00276DE7"/>
    <w:rsid w:val="002A5E05"/>
    <w:rsid w:val="002B70D0"/>
    <w:rsid w:val="002F65B8"/>
    <w:rsid w:val="003560E5"/>
    <w:rsid w:val="003A31CC"/>
    <w:rsid w:val="003B24E6"/>
    <w:rsid w:val="003C1D8C"/>
    <w:rsid w:val="003C5481"/>
    <w:rsid w:val="003E2A9F"/>
    <w:rsid w:val="003F2B87"/>
    <w:rsid w:val="003F4681"/>
    <w:rsid w:val="00402CB3"/>
    <w:rsid w:val="00403B93"/>
    <w:rsid w:val="00426C8F"/>
    <w:rsid w:val="00442A23"/>
    <w:rsid w:val="00443799"/>
    <w:rsid w:val="00444897"/>
    <w:rsid w:val="00453D74"/>
    <w:rsid w:val="00456A51"/>
    <w:rsid w:val="00463B3D"/>
    <w:rsid w:val="0047003F"/>
    <w:rsid w:val="00481085"/>
    <w:rsid w:val="004840B4"/>
    <w:rsid w:val="004914AE"/>
    <w:rsid w:val="00495130"/>
    <w:rsid w:val="004A1D02"/>
    <w:rsid w:val="004A3F07"/>
    <w:rsid w:val="004A5039"/>
    <w:rsid w:val="004C4A14"/>
    <w:rsid w:val="004F370C"/>
    <w:rsid w:val="00533564"/>
    <w:rsid w:val="00541C2B"/>
    <w:rsid w:val="00553F02"/>
    <w:rsid w:val="0059701A"/>
    <w:rsid w:val="005A6E38"/>
    <w:rsid w:val="005B276C"/>
    <w:rsid w:val="005B4E27"/>
    <w:rsid w:val="005C3E20"/>
    <w:rsid w:val="005F4E90"/>
    <w:rsid w:val="006070A2"/>
    <w:rsid w:val="006426A4"/>
    <w:rsid w:val="00656AC2"/>
    <w:rsid w:val="00660005"/>
    <w:rsid w:val="0066190F"/>
    <w:rsid w:val="00690017"/>
    <w:rsid w:val="00693AC9"/>
    <w:rsid w:val="0069720F"/>
    <w:rsid w:val="006A75E8"/>
    <w:rsid w:val="006D174A"/>
    <w:rsid w:val="006E0696"/>
    <w:rsid w:val="00704EA1"/>
    <w:rsid w:val="0071520E"/>
    <w:rsid w:val="0071796E"/>
    <w:rsid w:val="00717FC9"/>
    <w:rsid w:val="007409F8"/>
    <w:rsid w:val="00760DB4"/>
    <w:rsid w:val="007628B2"/>
    <w:rsid w:val="00773F6E"/>
    <w:rsid w:val="007C04F7"/>
    <w:rsid w:val="007D5E15"/>
    <w:rsid w:val="007F1D0A"/>
    <w:rsid w:val="00854854"/>
    <w:rsid w:val="00856ACC"/>
    <w:rsid w:val="008671C1"/>
    <w:rsid w:val="00896300"/>
    <w:rsid w:val="00930B28"/>
    <w:rsid w:val="00934554"/>
    <w:rsid w:val="0095636F"/>
    <w:rsid w:val="00973ADD"/>
    <w:rsid w:val="009775F5"/>
    <w:rsid w:val="00986D1E"/>
    <w:rsid w:val="009A687F"/>
    <w:rsid w:val="009A7C82"/>
    <w:rsid w:val="009C57AA"/>
    <w:rsid w:val="009D0E4E"/>
    <w:rsid w:val="009E7738"/>
    <w:rsid w:val="009E7A7C"/>
    <w:rsid w:val="009F10E8"/>
    <w:rsid w:val="00A0391E"/>
    <w:rsid w:val="00A1454F"/>
    <w:rsid w:val="00A21766"/>
    <w:rsid w:val="00A23723"/>
    <w:rsid w:val="00A342C9"/>
    <w:rsid w:val="00A45DFE"/>
    <w:rsid w:val="00A61201"/>
    <w:rsid w:val="00AB41D8"/>
    <w:rsid w:val="00AC7647"/>
    <w:rsid w:val="00AD302D"/>
    <w:rsid w:val="00AD644E"/>
    <w:rsid w:val="00AE6189"/>
    <w:rsid w:val="00AF0D16"/>
    <w:rsid w:val="00AF6559"/>
    <w:rsid w:val="00AF7B1B"/>
    <w:rsid w:val="00B00789"/>
    <w:rsid w:val="00B11224"/>
    <w:rsid w:val="00B64B75"/>
    <w:rsid w:val="00B70765"/>
    <w:rsid w:val="00BA0AF5"/>
    <w:rsid w:val="00BA3ED8"/>
    <w:rsid w:val="00BB49A8"/>
    <w:rsid w:val="00BD7FB4"/>
    <w:rsid w:val="00C41FD2"/>
    <w:rsid w:val="00C43DEB"/>
    <w:rsid w:val="00C53324"/>
    <w:rsid w:val="00C8789B"/>
    <w:rsid w:val="00C9551D"/>
    <w:rsid w:val="00CA51CC"/>
    <w:rsid w:val="00CC7408"/>
    <w:rsid w:val="00CD37F0"/>
    <w:rsid w:val="00CF1A5B"/>
    <w:rsid w:val="00D00E99"/>
    <w:rsid w:val="00D03917"/>
    <w:rsid w:val="00D1442D"/>
    <w:rsid w:val="00D53E5F"/>
    <w:rsid w:val="00D63AAE"/>
    <w:rsid w:val="00D73B66"/>
    <w:rsid w:val="00DA22EE"/>
    <w:rsid w:val="00DB3133"/>
    <w:rsid w:val="00DD1A84"/>
    <w:rsid w:val="00DD2890"/>
    <w:rsid w:val="00DF64FA"/>
    <w:rsid w:val="00E00F28"/>
    <w:rsid w:val="00E1010B"/>
    <w:rsid w:val="00E13160"/>
    <w:rsid w:val="00E13AE2"/>
    <w:rsid w:val="00E3544D"/>
    <w:rsid w:val="00E41A0D"/>
    <w:rsid w:val="00E42EDB"/>
    <w:rsid w:val="00E6758D"/>
    <w:rsid w:val="00E71C49"/>
    <w:rsid w:val="00E84589"/>
    <w:rsid w:val="00EC1033"/>
    <w:rsid w:val="00EF06E6"/>
    <w:rsid w:val="00EF61FE"/>
    <w:rsid w:val="00F16CBC"/>
    <w:rsid w:val="00F22A9B"/>
    <w:rsid w:val="00F35D8A"/>
    <w:rsid w:val="00F6343B"/>
    <w:rsid w:val="00F82DAA"/>
    <w:rsid w:val="00FB3667"/>
    <w:rsid w:val="00FB4C24"/>
    <w:rsid w:val="00FC41DF"/>
    <w:rsid w:val="00FF0633"/>
    <w:rsid w:val="00FF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2B87"/>
    <w:pPr>
      <w:widowControl w:val="0"/>
      <w:autoSpaceDE w:val="0"/>
      <w:autoSpaceDN w:val="0"/>
    </w:pPr>
    <w:rPr>
      <w:rFonts w:ascii="Raleway" w:eastAsia="Raleway" w:hAnsi="Raleway" w:cs="Raleway"/>
      <w:sz w:val="22"/>
      <w:szCs w:val="22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9A687F"/>
    <w:pPr>
      <w:keepNext/>
      <w:tabs>
        <w:tab w:val="left" w:pos="6030"/>
      </w:tabs>
      <w:outlineLvl w:val="0"/>
    </w:pPr>
    <w:rPr>
      <w:b/>
      <w:sz w:val="28"/>
      <w:u w:val="single"/>
    </w:rPr>
  </w:style>
  <w:style w:type="paragraph" w:styleId="Nagwek2">
    <w:name w:val="heading 2"/>
    <w:basedOn w:val="Normalny"/>
    <w:next w:val="Normalny"/>
    <w:link w:val="Nagwek2Znak"/>
    <w:qFormat/>
    <w:rsid w:val="009A687F"/>
    <w:pPr>
      <w:keepNext/>
      <w:shd w:val="clear" w:color="auto" w:fill="FFFFFF"/>
      <w:outlineLvl w:val="1"/>
    </w:pPr>
    <w:rPr>
      <w:b/>
      <w:bCs/>
      <w:color w:val="000000"/>
      <w:szCs w:val="29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3160"/>
    <w:pPr>
      <w:keepNext/>
      <w:suppressAutoHyphens/>
      <w:spacing w:before="240" w:after="60" w:line="360" w:lineRule="auto"/>
      <w:contextualSpacing/>
      <w:jc w:val="both"/>
      <w:outlineLvl w:val="2"/>
    </w:pPr>
    <w:rPr>
      <w:rFonts w:eastAsiaTheme="majorEastAsia" w:cstheme="majorBidi"/>
      <w:b/>
      <w:bCs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687F"/>
    <w:rPr>
      <w:rFonts w:eastAsia="Times New Roman"/>
      <w:b/>
      <w:sz w:val="28"/>
      <w:szCs w:val="24"/>
      <w:u w:val="single"/>
    </w:rPr>
  </w:style>
  <w:style w:type="character" w:styleId="Pogrubienie">
    <w:name w:val="Strong"/>
    <w:uiPriority w:val="22"/>
    <w:qFormat/>
    <w:rsid w:val="003A31CC"/>
    <w:rPr>
      <w:b/>
      <w:bCs/>
    </w:rPr>
  </w:style>
  <w:style w:type="character" w:styleId="Uwydatnienie">
    <w:name w:val="Emphasis"/>
    <w:qFormat/>
    <w:rsid w:val="003A31CC"/>
    <w:rPr>
      <w:i/>
      <w:iC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A31CC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7C82"/>
    <w:pPr>
      <w:contextualSpacing/>
    </w:pPr>
    <w:rPr>
      <w:rFonts w:eastAsia="SimSu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7C82"/>
    <w:rPr>
      <w:rFonts w:eastAsia="SimSun" w:cs="Calibri"/>
      <w:kern w:val="1"/>
      <w:lang w:eastAsia="ar-SA"/>
    </w:rPr>
  </w:style>
  <w:style w:type="character" w:styleId="Odwoanieprzypisudolnego">
    <w:name w:val="footnote reference"/>
    <w:basedOn w:val="Domylnaczcionkaakapitu"/>
    <w:uiPriority w:val="99"/>
    <w:unhideWhenUsed/>
    <w:rsid w:val="001716C4"/>
    <w:rPr>
      <w:rFonts w:ascii="Times New Roman" w:hAnsi="Times New Roman"/>
      <w:sz w:val="20"/>
      <w:vertAlign w:val="superscript"/>
    </w:rPr>
  </w:style>
  <w:style w:type="character" w:customStyle="1" w:styleId="Nagwek2Znak">
    <w:name w:val="Nagłówek 2 Znak"/>
    <w:link w:val="Nagwek2"/>
    <w:rsid w:val="009A687F"/>
    <w:rPr>
      <w:rFonts w:eastAsia="Times New Roman"/>
      <w:b/>
      <w:bCs/>
      <w:color w:val="000000"/>
      <w:sz w:val="24"/>
      <w:szCs w:val="29"/>
      <w:shd w:val="clear" w:color="auto" w:fill="FFFFF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3160"/>
    <w:rPr>
      <w:rFonts w:eastAsiaTheme="majorEastAsia" w:cstheme="majorBidi"/>
      <w:b/>
      <w:bCs/>
      <w:sz w:val="24"/>
      <w:szCs w:val="26"/>
      <w:lang w:eastAsia="zh-CN"/>
    </w:rPr>
  </w:style>
  <w:style w:type="character" w:customStyle="1" w:styleId="Nagwek1Znak1">
    <w:name w:val="Nagłówek 1 Znak1"/>
    <w:basedOn w:val="Domylnaczcionkaakapitu"/>
    <w:rsid w:val="009A687F"/>
    <w:rPr>
      <w:rFonts w:eastAsiaTheme="majorEastAsia" w:cstheme="majorBid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3F2B87"/>
    <w:rPr>
      <w:sz w:val="14"/>
      <w:szCs w:val="1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F2B87"/>
    <w:rPr>
      <w:rFonts w:ascii="Raleway" w:eastAsia="Raleway" w:hAnsi="Raleway" w:cs="Raleway"/>
      <w:sz w:val="14"/>
      <w:szCs w:val="14"/>
      <w:lang w:bidi="pl-PL"/>
    </w:rPr>
  </w:style>
  <w:style w:type="paragraph" w:styleId="Nagwek">
    <w:name w:val="header"/>
    <w:basedOn w:val="Normalny"/>
    <w:link w:val="NagwekZnak"/>
    <w:uiPriority w:val="99"/>
    <w:unhideWhenUsed/>
    <w:rsid w:val="003F2B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2B87"/>
    <w:rPr>
      <w:rFonts w:ascii="Raleway" w:eastAsia="Raleway" w:hAnsi="Raleway" w:cs="Raleway"/>
      <w:sz w:val="22"/>
      <w:szCs w:val="22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3F2B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2B87"/>
    <w:rPr>
      <w:rFonts w:ascii="Raleway" w:eastAsia="Raleway" w:hAnsi="Raleway" w:cs="Raleway"/>
      <w:sz w:val="22"/>
      <w:szCs w:val="22"/>
      <w:lang w:bidi="pl-PL"/>
    </w:rPr>
  </w:style>
  <w:style w:type="character" w:styleId="Hipercze">
    <w:name w:val="Hyperlink"/>
    <w:basedOn w:val="Domylnaczcionkaakapitu"/>
    <w:uiPriority w:val="99"/>
    <w:semiHidden/>
    <w:unhideWhenUsed/>
    <w:rsid w:val="003F2B8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370C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20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20E"/>
    <w:rPr>
      <w:rFonts w:ascii="Raleway" w:eastAsia="Raleway" w:hAnsi="Raleway" w:cs="Raleway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20E"/>
    <w:rPr>
      <w:vertAlign w:val="superscript"/>
    </w:rPr>
  </w:style>
  <w:style w:type="paragraph" w:styleId="NormalnyWeb">
    <w:name w:val="Normal (Web)"/>
    <w:basedOn w:val="Normalny"/>
    <w:unhideWhenUsed/>
    <w:rsid w:val="00D00E99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Odwoaniedokomentarza">
    <w:name w:val="annotation reference"/>
    <w:basedOn w:val="Domylnaczcionkaakapitu"/>
    <w:semiHidden/>
    <w:unhideWhenUsed/>
    <w:rsid w:val="007F1D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1D0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1D0A"/>
    <w:rPr>
      <w:rFonts w:ascii="Raleway" w:eastAsia="Raleway" w:hAnsi="Raleway" w:cs="Raleway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1D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1D0A"/>
    <w:rPr>
      <w:rFonts w:ascii="Raleway" w:eastAsia="Raleway" w:hAnsi="Raleway" w:cs="Raleway"/>
      <w:b/>
      <w:bCs/>
      <w:lang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1D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1D0A"/>
    <w:rPr>
      <w:rFonts w:ascii="Tahoma" w:eastAsia="Raleway" w:hAnsi="Tahoma" w:cs="Tahoma"/>
      <w:sz w:val="16"/>
      <w:szCs w:val="16"/>
      <w:lang w:bidi="pl-PL"/>
    </w:rPr>
  </w:style>
  <w:style w:type="paragraph" w:customStyle="1" w:styleId="Standard">
    <w:name w:val="Standard"/>
    <w:rsid w:val="003C1D8C"/>
    <w:pPr>
      <w:widowControl w:val="0"/>
      <w:suppressAutoHyphens/>
      <w:autoSpaceDN w:val="0"/>
    </w:pPr>
    <w:rPr>
      <w:rFonts w:ascii="Raleway" w:eastAsia="Raleway" w:hAnsi="Raleway" w:cs="Raleway"/>
      <w:kern w:val="3"/>
      <w:sz w:val="22"/>
      <w:szCs w:val="22"/>
      <w:lang w:bidi="pl-PL"/>
    </w:rPr>
  </w:style>
  <w:style w:type="numbering" w:customStyle="1" w:styleId="WW8Num2">
    <w:name w:val="WW8Num2"/>
    <w:rsid w:val="003C1D8C"/>
    <w:pPr>
      <w:numPr>
        <w:numId w:val="4"/>
      </w:numPr>
    </w:pPr>
  </w:style>
  <w:style w:type="numbering" w:customStyle="1" w:styleId="WW8Num3">
    <w:name w:val="WW8Num3"/>
    <w:rsid w:val="003C1D8C"/>
    <w:pPr>
      <w:numPr>
        <w:numId w:val="7"/>
      </w:numPr>
    </w:pPr>
  </w:style>
  <w:style w:type="numbering" w:customStyle="1" w:styleId="WW8Num4">
    <w:name w:val="WW8Num4"/>
    <w:rsid w:val="003C1D8C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6AB09-3928-4A6E-ABD1-B29747AB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642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MSI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maria.szruba@live.com</dc:creator>
  <cp:lastModifiedBy>MSI</cp:lastModifiedBy>
  <cp:revision>7</cp:revision>
  <dcterms:created xsi:type="dcterms:W3CDTF">2021-01-13T09:26:00Z</dcterms:created>
  <dcterms:modified xsi:type="dcterms:W3CDTF">2021-01-15T09:15:00Z</dcterms:modified>
</cp:coreProperties>
</file>